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78E48" w14:textId="77777777" w:rsidR="007B5F05" w:rsidRDefault="007B5F05" w:rsidP="00D0688C">
      <w:pPr>
        <w:ind w:left="90" w:right="450"/>
      </w:pPr>
    </w:p>
    <w:p w14:paraId="496DDCBC" w14:textId="0E9E8842" w:rsidR="0025279E" w:rsidRDefault="0025279E" w:rsidP="0025279E">
      <w:pPr>
        <w:jc w:val="center"/>
        <w:rPr>
          <w:rFonts w:ascii="Poppins" w:hAnsi="Poppins"/>
        </w:rPr>
      </w:pPr>
      <w:r w:rsidRPr="00D0688C">
        <w:rPr>
          <w:rFonts w:ascii="Poppins" w:hAnsi="Poppins"/>
          <w:b/>
          <w:bCs/>
        </w:rPr>
        <w:t xml:space="preserve">The Workforce Leadership Forum </w:t>
      </w:r>
      <w:r w:rsidR="00D0688C">
        <w:rPr>
          <w:rFonts w:ascii="Poppins" w:hAnsi="Poppins"/>
          <w:b/>
          <w:bCs/>
        </w:rPr>
        <w:br/>
        <w:t>Penn Harris Hotel and Conference Center</w:t>
      </w:r>
      <w:r w:rsidR="00D0688C">
        <w:rPr>
          <w:rFonts w:ascii="Poppins" w:hAnsi="Poppins"/>
          <w:b/>
          <w:bCs/>
        </w:rPr>
        <w:br/>
        <w:t xml:space="preserve">Camp Hill, PA </w:t>
      </w:r>
      <w:r w:rsidRPr="00D0688C">
        <w:rPr>
          <w:rFonts w:ascii="Poppins" w:hAnsi="Poppins"/>
          <w:b/>
          <w:bCs/>
        </w:rPr>
        <w:br/>
      </w:r>
      <w:r w:rsidR="00D0688C">
        <w:rPr>
          <w:rFonts w:ascii="Poppins" w:hAnsi="Poppins"/>
        </w:rPr>
        <w:br/>
      </w:r>
      <w:r>
        <w:rPr>
          <w:rFonts w:ascii="Poppins" w:hAnsi="Poppins"/>
        </w:rPr>
        <w:t xml:space="preserve">Workshop Descriptions </w:t>
      </w:r>
    </w:p>
    <w:p w14:paraId="707827EE" w14:textId="6C2807AC" w:rsidR="0025279E" w:rsidRDefault="0025279E" w:rsidP="00D0688C">
      <w:pPr>
        <w:ind w:right="360"/>
        <w:rPr>
          <w:rFonts w:ascii="Poppins" w:hAnsi="Poppins"/>
        </w:rPr>
      </w:pPr>
      <w:r>
        <w:rPr>
          <w:rFonts w:ascii="Poppins" w:hAnsi="Poppins"/>
        </w:rPr>
        <w:t>Breakout Session 1</w:t>
      </w:r>
      <w:r w:rsidR="00D0688C">
        <w:rPr>
          <w:rFonts w:ascii="Poppins" w:hAnsi="Poppins"/>
        </w:rPr>
        <w:t xml:space="preserve"> – September 30, 2026 – 1:00 PM – 2:00 PM </w:t>
      </w:r>
    </w:p>
    <w:p w14:paraId="66467C7E" w14:textId="301F5130" w:rsidR="0025279E" w:rsidRDefault="0025279E" w:rsidP="00D0688C">
      <w:pPr>
        <w:ind w:right="360"/>
        <w:rPr>
          <w:rFonts w:ascii="Poppins" w:hAnsi="Poppins"/>
          <w:b/>
          <w:bCs/>
        </w:rPr>
      </w:pPr>
      <w:r>
        <w:rPr>
          <w:rFonts w:ascii="Poppins" w:hAnsi="Poppins"/>
          <w:b/>
          <w:bCs/>
        </w:rPr>
        <w:t xml:space="preserve">Keystone AB – </w:t>
      </w:r>
      <w:r w:rsidRPr="0025279E">
        <w:rPr>
          <w:rFonts w:ascii="Poppins" w:hAnsi="Poppins"/>
          <w:b/>
          <w:bCs/>
        </w:rPr>
        <w:t>From Data to Impact: Showing What Works for Workers and Employers</w:t>
      </w:r>
      <w:r>
        <w:rPr>
          <w:rFonts w:ascii="Poppins" w:hAnsi="Poppins"/>
          <w:b/>
          <w:bCs/>
        </w:rPr>
        <w:t xml:space="preserve"> - Ruth Junior, Grant Associates</w:t>
      </w:r>
    </w:p>
    <w:p w14:paraId="603805CA" w14:textId="19E861B0" w:rsidR="0025279E" w:rsidRDefault="0025279E" w:rsidP="00D0688C">
      <w:pPr>
        <w:spacing w:after="0"/>
        <w:ind w:right="360"/>
        <w:rPr>
          <w:rFonts w:ascii="Poppins" w:hAnsi="Poppins"/>
          <w:i/>
          <w:iCs/>
        </w:rPr>
      </w:pPr>
      <w:r w:rsidRPr="0025279E">
        <w:rPr>
          <w:rFonts w:ascii="Poppins" w:hAnsi="Poppins"/>
          <w:i/>
          <w:iCs/>
        </w:rPr>
        <w:t>As uncertainty around workforce funding increases, telling a compelling, outcomes-driven story is critical to advocate effectively with funders for sustained investment. Further, far too often, systems center jobseekers alone, when employers are the first customer. Join Grant Associates to learn how integrated data systems can help to capture both sides of the story—employer demand and participant outcomes—by combining real-world data and human impact narratives to turn data into insight and insight into a stronger workforce system.</w:t>
      </w:r>
    </w:p>
    <w:p w14:paraId="3DFE14A7" w14:textId="77777777" w:rsidR="0025279E" w:rsidRDefault="0025279E" w:rsidP="00D0688C">
      <w:pPr>
        <w:spacing w:after="0"/>
        <w:ind w:right="360"/>
        <w:rPr>
          <w:rFonts w:ascii="Poppins" w:hAnsi="Poppins"/>
        </w:rPr>
      </w:pPr>
    </w:p>
    <w:p w14:paraId="6AF4FF9F" w14:textId="53FF79E3" w:rsidR="0025279E" w:rsidRDefault="0025279E" w:rsidP="00D0688C">
      <w:pPr>
        <w:spacing w:after="0"/>
        <w:ind w:right="360"/>
        <w:rPr>
          <w:rFonts w:ascii="Poppins" w:hAnsi="Poppins"/>
          <w:b/>
          <w:bCs/>
        </w:rPr>
      </w:pPr>
      <w:r>
        <w:rPr>
          <w:rFonts w:ascii="Poppins" w:hAnsi="Poppins"/>
          <w:b/>
          <w:bCs/>
        </w:rPr>
        <w:t xml:space="preserve">Keystone C – Regional Competitiveness: Why Workforce Matters – Jesse McCree, </w:t>
      </w:r>
      <w:proofErr w:type="spellStart"/>
      <w:r>
        <w:rPr>
          <w:rFonts w:ascii="Poppins" w:hAnsi="Poppins"/>
          <w:b/>
          <w:bCs/>
        </w:rPr>
        <w:t>SCPaWorks</w:t>
      </w:r>
      <w:proofErr w:type="spellEnd"/>
      <w:r>
        <w:rPr>
          <w:rFonts w:ascii="Poppins" w:hAnsi="Poppins"/>
          <w:b/>
          <w:bCs/>
        </w:rPr>
        <w:t xml:space="preserve"> </w:t>
      </w:r>
    </w:p>
    <w:p w14:paraId="46463149" w14:textId="3909F352" w:rsidR="0025279E" w:rsidRDefault="0025279E" w:rsidP="00D0688C">
      <w:pPr>
        <w:spacing w:after="0"/>
        <w:ind w:right="360"/>
        <w:rPr>
          <w:rFonts w:ascii="Poppins" w:hAnsi="Poppins"/>
          <w:i/>
          <w:iCs/>
        </w:rPr>
      </w:pPr>
      <w:r w:rsidRPr="0025279E">
        <w:rPr>
          <w:rFonts w:ascii="Poppins" w:hAnsi="Poppins"/>
          <w:i/>
          <w:iCs/>
        </w:rPr>
        <w:t>This session will examine how workforce development, economic development, chambers, employers, and education partners can work together to strengthen regional competitiveness. Panelists will discuss how talent factors into economic development strategy, what employers and site selectors are looking for, and how workforce boards can become more strategic partners in advancing regional growth.</w:t>
      </w:r>
    </w:p>
    <w:p w14:paraId="0B6FB440" w14:textId="77777777" w:rsidR="0025279E" w:rsidRDefault="0025279E" w:rsidP="00D0688C">
      <w:pPr>
        <w:spacing w:after="0"/>
        <w:ind w:right="360"/>
        <w:rPr>
          <w:rFonts w:ascii="Poppins" w:hAnsi="Poppins"/>
        </w:rPr>
      </w:pPr>
    </w:p>
    <w:p w14:paraId="4B38E452" w14:textId="77777777" w:rsidR="00D0688C" w:rsidRDefault="00D0688C" w:rsidP="00D0688C">
      <w:pPr>
        <w:spacing w:after="0"/>
        <w:ind w:right="360"/>
        <w:rPr>
          <w:rFonts w:ascii="Poppins" w:hAnsi="Poppins"/>
          <w:b/>
          <w:bCs/>
        </w:rPr>
      </w:pPr>
    </w:p>
    <w:p w14:paraId="585585BB" w14:textId="77777777" w:rsidR="00D0688C" w:rsidRDefault="00D0688C" w:rsidP="00D0688C">
      <w:pPr>
        <w:spacing w:after="0"/>
        <w:ind w:right="360"/>
        <w:rPr>
          <w:rFonts w:ascii="Poppins" w:hAnsi="Poppins"/>
          <w:b/>
          <w:bCs/>
        </w:rPr>
      </w:pPr>
    </w:p>
    <w:p w14:paraId="00BBDCE6" w14:textId="609BE964" w:rsidR="0025279E" w:rsidRDefault="0025279E" w:rsidP="00D0688C">
      <w:pPr>
        <w:spacing w:after="0"/>
        <w:ind w:right="360"/>
        <w:rPr>
          <w:rFonts w:ascii="Poppins" w:hAnsi="Poppins"/>
          <w:b/>
          <w:bCs/>
        </w:rPr>
      </w:pPr>
      <w:r>
        <w:rPr>
          <w:rFonts w:ascii="Poppins" w:hAnsi="Poppins"/>
          <w:b/>
          <w:bCs/>
        </w:rPr>
        <w:lastRenderedPageBreak/>
        <w:t xml:space="preserve">Keystone </w:t>
      </w:r>
      <w:r>
        <w:rPr>
          <w:rFonts w:ascii="Poppins" w:hAnsi="Poppins"/>
          <w:b/>
          <w:bCs/>
        </w:rPr>
        <w:t xml:space="preserve">D – Employer Engagement to Talent Partnership - Mark Genua, Jobs for the Future </w:t>
      </w:r>
    </w:p>
    <w:p w14:paraId="2A860120" w14:textId="77777777" w:rsidR="0025279E" w:rsidRDefault="0025279E" w:rsidP="00D0688C">
      <w:pPr>
        <w:spacing w:after="0"/>
        <w:ind w:right="360"/>
        <w:rPr>
          <w:rFonts w:ascii="Poppins" w:hAnsi="Poppins"/>
          <w:i/>
          <w:iCs/>
        </w:rPr>
      </w:pPr>
      <w:r w:rsidRPr="0025279E">
        <w:rPr>
          <w:rFonts w:ascii="Poppins" w:hAnsi="Poppins"/>
          <w:i/>
          <w:iCs/>
        </w:rPr>
        <w:t>The session will focus on how workforce organizations can move from transactional employer engagement to longer-term talent partnerships, including what employers value, how trust is built, and how workforce partners can support hiring, retention, advancement, and skill development.</w:t>
      </w:r>
    </w:p>
    <w:p w14:paraId="3A8901C1" w14:textId="77777777" w:rsidR="0025279E" w:rsidRDefault="0025279E" w:rsidP="00D0688C">
      <w:pPr>
        <w:spacing w:after="0"/>
        <w:ind w:right="360"/>
        <w:rPr>
          <w:rFonts w:ascii="Poppins" w:hAnsi="Poppins"/>
          <w:b/>
          <w:bCs/>
        </w:rPr>
      </w:pPr>
    </w:p>
    <w:p w14:paraId="0313A88C" w14:textId="381EB3D8" w:rsidR="0025279E" w:rsidRDefault="0025279E" w:rsidP="00D0688C">
      <w:pPr>
        <w:spacing w:after="0"/>
        <w:ind w:right="360"/>
        <w:rPr>
          <w:rFonts w:ascii="Poppins" w:hAnsi="Poppins"/>
          <w:b/>
          <w:bCs/>
        </w:rPr>
      </w:pPr>
      <w:r>
        <w:rPr>
          <w:rFonts w:ascii="Poppins" w:hAnsi="Poppins"/>
          <w:b/>
          <w:bCs/>
        </w:rPr>
        <w:t xml:space="preserve">Keystone E – The Table with No Head: Leading Across Systems Without Authority – Sheila Jones, </w:t>
      </w:r>
      <w:proofErr w:type="spellStart"/>
      <w:r>
        <w:rPr>
          <w:rFonts w:ascii="Poppins" w:hAnsi="Poppins"/>
          <w:b/>
          <w:bCs/>
        </w:rPr>
        <w:t>Whicked</w:t>
      </w:r>
      <w:proofErr w:type="spellEnd"/>
      <w:r>
        <w:rPr>
          <w:rFonts w:ascii="Poppins" w:hAnsi="Poppins"/>
          <w:b/>
          <w:bCs/>
        </w:rPr>
        <w:t xml:space="preserve"> Results </w:t>
      </w:r>
    </w:p>
    <w:p w14:paraId="77D84E37" w14:textId="0BBA0D8E" w:rsidR="0025279E" w:rsidRDefault="0025279E" w:rsidP="00D0688C">
      <w:pPr>
        <w:spacing w:after="0"/>
        <w:ind w:right="360"/>
        <w:rPr>
          <w:rFonts w:ascii="Poppins" w:hAnsi="Poppins"/>
          <w:i/>
          <w:iCs/>
        </w:rPr>
      </w:pPr>
      <w:r w:rsidRPr="0025279E">
        <w:rPr>
          <w:rFonts w:ascii="Poppins" w:hAnsi="Poppins"/>
          <w:i/>
          <w:iCs/>
        </w:rPr>
        <w:t xml:space="preserve">Our system is navigating a level of disruption, uncertainty, and change is not going away anytime soon. That calls for building </w:t>
      </w:r>
      <w:proofErr w:type="gramStart"/>
      <w:r w:rsidRPr="0025279E">
        <w:rPr>
          <w:rFonts w:ascii="Poppins" w:hAnsi="Poppins"/>
          <w:i/>
          <w:iCs/>
        </w:rPr>
        <w:t>change tolerance and agility</w:t>
      </w:r>
      <w:proofErr w:type="gramEnd"/>
      <w:r w:rsidRPr="0025279E">
        <w:rPr>
          <w:rFonts w:ascii="Poppins" w:hAnsi="Poppins"/>
          <w:i/>
          <w:iCs/>
        </w:rPr>
        <w:t xml:space="preserve"> into organizational DNA. This interactive workshop focuses on leading yourself and others through uncertainty. We’ll explore traits of agile organizational culture and the behaviors that foster it – or block it. Join us as we empower people with tactics to build a change-tolerant, innovative culture!      </w:t>
      </w:r>
    </w:p>
    <w:p w14:paraId="22744E42" w14:textId="77777777" w:rsidR="00D0688C" w:rsidRDefault="00D0688C" w:rsidP="00D0688C">
      <w:pPr>
        <w:spacing w:after="0"/>
        <w:ind w:right="360"/>
        <w:rPr>
          <w:rFonts w:ascii="Poppins" w:hAnsi="Poppins"/>
          <w:i/>
          <w:iCs/>
        </w:rPr>
      </w:pPr>
    </w:p>
    <w:p w14:paraId="6CE02790" w14:textId="2ABCB957" w:rsidR="00D0688C" w:rsidRDefault="00D0688C" w:rsidP="00D0688C">
      <w:pPr>
        <w:spacing w:after="0"/>
        <w:ind w:right="360"/>
        <w:rPr>
          <w:rFonts w:ascii="Poppins" w:hAnsi="Poppins"/>
          <w:i/>
          <w:iCs/>
        </w:rPr>
      </w:pPr>
      <w:r>
        <w:rPr>
          <w:rFonts w:ascii="Poppins" w:hAnsi="Poppins"/>
          <w:i/>
          <w:iCs/>
          <w:noProof/>
        </w:rPr>
        <mc:AlternateContent>
          <mc:Choice Requires="wps">
            <w:drawing>
              <wp:anchor distT="0" distB="0" distL="114300" distR="114300" simplePos="0" relativeHeight="251659264" behindDoc="0" locked="0" layoutInCell="1" allowOverlap="1" wp14:anchorId="251F009F" wp14:editId="4080D59C">
                <wp:simplePos x="0" y="0"/>
                <wp:positionH relativeFrom="column">
                  <wp:posOffset>91440</wp:posOffset>
                </wp:positionH>
                <wp:positionV relativeFrom="paragraph">
                  <wp:posOffset>88265</wp:posOffset>
                </wp:positionV>
                <wp:extent cx="6111240" cy="0"/>
                <wp:effectExtent l="0" t="0" r="0" b="0"/>
                <wp:wrapNone/>
                <wp:docPr id="1177268763" name="Straight Connector 2"/>
                <wp:cNvGraphicFramePr/>
                <a:graphic xmlns:a="http://schemas.openxmlformats.org/drawingml/2006/main">
                  <a:graphicData uri="http://schemas.microsoft.com/office/word/2010/wordprocessingShape">
                    <wps:wsp>
                      <wps:cNvCnPr/>
                      <wps:spPr>
                        <a:xfrm>
                          <a:off x="0" y="0"/>
                          <a:ext cx="6111240"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04673EC"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2pt,6.95pt" to="488.4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" strokecolor="#156082 [3204]" strokeweight="1.5pt">
                <v:stroke dashstyle="dash"/>
              </v:line>
            </w:pict>
          </mc:Fallback>
        </mc:AlternateContent>
      </w:r>
    </w:p>
    <w:p w14:paraId="6701D3AE" w14:textId="77777777" w:rsidR="00D0688C" w:rsidRDefault="00D0688C" w:rsidP="00D0688C">
      <w:pPr>
        <w:spacing w:after="0"/>
        <w:ind w:right="360"/>
        <w:rPr>
          <w:rFonts w:ascii="Poppins" w:hAnsi="Poppins"/>
          <w:i/>
          <w:iCs/>
        </w:rPr>
      </w:pPr>
    </w:p>
    <w:p w14:paraId="64BC129D" w14:textId="248410FE" w:rsidR="00D0688C" w:rsidRDefault="00D0688C" w:rsidP="00D0688C">
      <w:pPr>
        <w:ind w:right="360"/>
        <w:rPr>
          <w:rFonts w:ascii="Poppins" w:hAnsi="Poppins"/>
        </w:rPr>
      </w:pPr>
      <w:r>
        <w:rPr>
          <w:rFonts w:ascii="Poppins" w:hAnsi="Poppins"/>
        </w:rPr>
        <w:t xml:space="preserve">Breakout Session </w:t>
      </w:r>
      <w:r>
        <w:rPr>
          <w:rFonts w:ascii="Poppins" w:hAnsi="Poppins"/>
        </w:rPr>
        <w:t xml:space="preserve">2 – September 30, 2026 – 2:15 PM – 3:15 PM </w:t>
      </w:r>
    </w:p>
    <w:p w14:paraId="440B0F71" w14:textId="79D8775A" w:rsidR="00D0688C" w:rsidRDefault="00D0688C" w:rsidP="00D0688C">
      <w:pPr>
        <w:ind w:right="360"/>
        <w:rPr>
          <w:rFonts w:ascii="Poppins" w:hAnsi="Poppins"/>
          <w:b/>
          <w:bCs/>
        </w:rPr>
      </w:pPr>
      <w:r>
        <w:rPr>
          <w:rFonts w:ascii="Poppins" w:hAnsi="Poppins"/>
          <w:b/>
          <w:bCs/>
        </w:rPr>
        <w:t xml:space="preserve">Keystone AB - </w:t>
      </w:r>
      <w:r w:rsidRPr="00D0688C">
        <w:rPr>
          <w:rFonts w:ascii="Poppins" w:hAnsi="Poppins"/>
          <w:b/>
          <w:bCs/>
        </w:rPr>
        <w:t>Reaching the Next Talent Pipeline: Digital Outreach, Youth Engagement, and Modern Workforce Services</w:t>
      </w:r>
      <w:r>
        <w:rPr>
          <w:rFonts w:ascii="Poppins" w:hAnsi="Poppins"/>
          <w:b/>
          <w:bCs/>
        </w:rPr>
        <w:t xml:space="preserve"> – John Casella and Anijae Felton, </w:t>
      </w:r>
      <w:proofErr w:type="spellStart"/>
      <w:r>
        <w:rPr>
          <w:rFonts w:ascii="Poppins" w:hAnsi="Poppins"/>
          <w:b/>
          <w:bCs/>
        </w:rPr>
        <w:t>JobWorks</w:t>
      </w:r>
      <w:proofErr w:type="spellEnd"/>
    </w:p>
    <w:p w14:paraId="15C6E5A0" w14:textId="77777777" w:rsidR="00D0688C" w:rsidRPr="00D0688C" w:rsidRDefault="00D0688C" w:rsidP="00D0688C">
      <w:pPr>
        <w:ind w:right="360"/>
        <w:rPr>
          <w:rFonts w:ascii="Poppins" w:hAnsi="Poppins"/>
          <w:i/>
          <w:iCs/>
        </w:rPr>
      </w:pPr>
      <w:r w:rsidRPr="00D0688C">
        <w:rPr>
          <w:rFonts w:ascii="Poppins" w:hAnsi="Poppins"/>
          <w:i/>
          <w:iCs/>
        </w:rPr>
        <w:t xml:space="preserve">Despite continued demand for workforce services, many organizations struggle driving foot traffic to their centers and programs, particularly Opportunity Youth and young adults. As a WIOA service provider and workforce program operator, </w:t>
      </w:r>
      <w:proofErr w:type="spellStart"/>
      <w:r w:rsidRPr="00D0688C">
        <w:rPr>
          <w:rFonts w:ascii="Poppins" w:hAnsi="Poppins"/>
          <w:i/>
          <w:iCs/>
        </w:rPr>
        <w:t>JobWorks</w:t>
      </w:r>
      <w:proofErr w:type="spellEnd"/>
      <w:r w:rsidRPr="00D0688C">
        <w:rPr>
          <w:rFonts w:ascii="Poppins" w:hAnsi="Poppins"/>
          <w:i/>
          <w:iCs/>
        </w:rPr>
        <w:t>, Inc. understands these barriers firsthand—and since 2023 has increased program foot traffic more than 10x by leveraging free or low-cost resources.</w:t>
      </w:r>
    </w:p>
    <w:p w14:paraId="6EED3407" w14:textId="77777777" w:rsidR="00032FE6" w:rsidRDefault="00032FE6" w:rsidP="00D0688C">
      <w:pPr>
        <w:ind w:right="360"/>
        <w:rPr>
          <w:rFonts w:ascii="Poppins" w:hAnsi="Poppins"/>
          <w:i/>
          <w:iCs/>
        </w:rPr>
      </w:pPr>
    </w:p>
    <w:p w14:paraId="044C953E" w14:textId="1CFE9D82" w:rsidR="00D0688C" w:rsidRPr="00D0688C" w:rsidRDefault="00D0688C" w:rsidP="00D0688C">
      <w:pPr>
        <w:ind w:right="360"/>
        <w:rPr>
          <w:rFonts w:ascii="Poppins" w:hAnsi="Poppins"/>
          <w:i/>
          <w:iCs/>
        </w:rPr>
      </w:pPr>
      <w:r w:rsidRPr="00D0688C">
        <w:rPr>
          <w:rFonts w:ascii="Poppins" w:hAnsi="Poppins"/>
          <w:i/>
          <w:iCs/>
        </w:rPr>
        <w:lastRenderedPageBreak/>
        <w:t xml:space="preserve">Through the free Google Ad Grant program — which provides eligible nonprofits up to $10,000 per month in free digital advertising — </w:t>
      </w:r>
      <w:proofErr w:type="spellStart"/>
      <w:r w:rsidRPr="00D0688C">
        <w:rPr>
          <w:rFonts w:ascii="Poppins" w:hAnsi="Poppins"/>
          <w:i/>
          <w:iCs/>
        </w:rPr>
        <w:t>JobWorks</w:t>
      </w:r>
      <w:proofErr w:type="spellEnd"/>
      <w:r w:rsidRPr="00D0688C">
        <w:rPr>
          <w:rFonts w:ascii="Poppins" w:hAnsi="Poppins"/>
          <w:i/>
          <w:iCs/>
        </w:rPr>
        <w:t xml:space="preserve"> </w:t>
      </w:r>
      <w:proofErr w:type="gramStart"/>
      <w:r w:rsidRPr="00D0688C">
        <w:rPr>
          <w:rFonts w:ascii="Poppins" w:hAnsi="Poppins"/>
          <w:i/>
          <w:iCs/>
        </w:rPr>
        <w:t>increased program</w:t>
      </w:r>
      <w:proofErr w:type="gramEnd"/>
      <w:r w:rsidRPr="00D0688C">
        <w:rPr>
          <w:rFonts w:ascii="Poppins" w:hAnsi="Poppins"/>
          <w:i/>
          <w:iCs/>
        </w:rPr>
        <w:t xml:space="preserve"> foot traffic from fewer than 100 candidates per month to more than 1,400, alongside significant gains in website traffic and engagement, including youth and young adults. Workforce organizations may use these same strategies to modernize their service delivery, help meet employer hiring needs, and recruit youth for work-based learning opportunities. Attendees will gain practical guidance about how to secure and activate up to $120,000 in free Google Ads, structure high-performing ad campaigns, and avoid common pitfalls that limit success. Presenters will share foundational digital marketing concepts to help workforce organizations more easily attract new participants through online campaigns. Attendees will leave with a clear roadmap to tap into free digital advertising and significantly expand their foot traffic and participant pipeline.</w:t>
      </w:r>
    </w:p>
    <w:p w14:paraId="78DBE6F7" w14:textId="12CC95CB" w:rsidR="00D0688C" w:rsidRDefault="00D0688C" w:rsidP="00D0688C">
      <w:pPr>
        <w:ind w:right="360"/>
        <w:rPr>
          <w:rFonts w:ascii="Poppins" w:hAnsi="Poppins"/>
          <w:b/>
          <w:bCs/>
        </w:rPr>
      </w:pPr>
      <w:r>
        <w:rPr>
          <w:rFonts w:ascii="Poppins" w:hAnsi="Poppins"/>
          <w:b/>
          <w:bCs/>
        </w:rPr>
        <w:t xml:space="preserve">Keystone C – Telling the Workforce Story – Amber Gaither, NASWA </w:t>
      </w:r>
    </w:p>
    <w:p w14:paraId="24981F17" w14:textId="77777777" w:rsidR="00D0688C" w:rsidRDefault="00D0688C" w:rsidP="00D0688C">
      <w:pPr>
        <w:ind w:right="360"/>
        <w:rPr>
          <w:rFonts w:ascii="Poppins" w:hAnsi="Poppins"/>
          <w:b/>
          <w:bCs/>
        </w:rPr>
      </w:pPr>
      <w:r>
        <w:rPr>
          <w:rFonts w:ascii="Poppins" w:hAnsi="Poppins"/>
          <w:b/>
          <w:bCs/>
        </w:rPr>
        <w:t>Keystone D – Workforce + Economic Development Strategy Lab – Melissa Robbins, NAWDP</w:t>
      </w:r>
    </w:p>
    <w:p w14:paraId="7CF2E1CD" w14:textId="02BE6F54" w:rsidR="00D0688C" w:rsidRPr="00D0688C" w:rsidRDefault="00D0688C" w:rsidP="00D0688C">
      <w:pPr>
        <w:ind w:right="360"/>
        <w:rPr>
          <w:rFonts w:ascii="Poppins" w:hAnsi="Poppins"/>
          <w:b/>
          <w:bCs/>
        </w:rPr>
      </w:pPr>
      <w:r>
        <w:rPr>
          <w:rFonts w:ascii="Poppins" w:hAnsi="Poppins"/>
          <w:i/>
          <w:iCs/>
        </w:rPr>
        <w:t>H</w:t>
      </w:r>
      <w:r w:rsidRPr="00D0688C">
        <w:rPr>
          <w:rFonts w:ascii="Poppins" w:hAnsi="Poppins"/>
          <w:i/>
          <w:iCs/>
        </w:rPr>
        <w:t>elp workforce leaders think more strategically about how they position themselves with economic development and employer partners, especially around business attraction, expansion, retention, and regional competitiveness</w:t>
      </w:r>
    </w:p>
    <w:p w14:paraId="74DC4B2F" w14:textId="30F76AEC" w:rsidR="00D0688C" w:rsidRDefault="00D0688C" w:rsidP="00D0688C">
      <w:pPr>
        <w:ind w:right="360"/>
        <w:rPr>
          <w:rFonts w:ascii="Poppins" w:hAnsi="Poppins"/>
          <w:b/>
          <w:bCs/>
        </w:rPr>
      </w:pPr>
      <w:r>
        <w:rPr>
          <w:rFonts w:ascii="Poppins" w:hAnsi="Poppins"/>
          <w:b/>
          <w:bCs/>
        </w:rPr>
        <w:t>Keystone E – Leading Through Disruptions – Richard Maher – Adaptive Human Capital, LLC</w:t>
      </w:r>
    </w:p>
    <w:p w14:paraId="7E5A1EAE" w14:textId="44601192" w:rsidR="0025279E" w:rsidRPr="0025279E" w:rsidRDefault="00D0688C" w:rsidP="00D0688C">
      <w:pPr>
        <w:ind w:right="360"/>
        <w:rPr>
          <w:rFonts w:ascii="Poppins" w:hAnsi="Poppins"/>
        </w:rPr>
      </w:pPr>
      <w:r w:rsidRPr="00D0688C">
        <w:rPr>
          <w:rFonts w:ascii="Poppins" w:hAnsi="Poppins"/>
          <w:i/>
          <w:iCs/>
        </w:rPr>
        <w:t xml:space="preserve">Our system is navigating a level of disruption, uncertainty, and change is not going away anytime soon. That calls for building </w:t>
      </w:r>
      <w:proofErr w:type="gramStart"/>
      <w:r w:rsidRPr="00D0688C">
        <w:rPr>
          <w:rFonts w:ascii="Poppins" w:hAnsi="Poppins"/>
          <w:i/>
          <w:iCs/>
        </w:rPr>
        <w:t>change tolerance and agility</w:t>
      </w:r>
      <w:proofErr w:type="gramEnd"/>
      <w:r w:rsidRPr="00D0688C">
        <w:rPr>
          <w:rFonts w:ascii="Poppins" w:hAnsi="Poppins"/>
          <w:i/>
          <w:iCs/>
        </w:rPr>
        <w:t xml:space="preserve"> into organizational DNA. This interactive workshop focuses on leading yourself and others through uncertainty. We’ll explore traits of agile organizational culture and the behaviors that foster it – or block it. Join us as we empower people with tactics to build a change-tolerant, innovative culture!      </w:t>
      </w:r>
    </w:p>
    <w:sectPr w:rsidR="0025279E" w:rsidRPr="0025279E" w:rsidSect="00D0688C">
      <w:headerReference w:type="default" r:id="rId6"/>
      <w:pgSz w:w="12240" w:h="15840"/>
      <w:pgMar w:top="810" w:right="540" w:bottom="81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371DA" w14:textId="77777777" w:rsidR="000A1DA6" w:rsidRDefault="000A1DA6" w:rsidP="00D0688C">
      <w:pPr>
        <w:spacing w:after="0" w:line="240" w:lineRule="auto"/>
      </w:pPr>
      <w:r>
        <w:separator/>
      </w:r>
    </w:p>
  </w:endnote>
  <w:endnote w:type="continuationSeparator" w:id="0">
    <w:p w14:paraId="0FB2DED9" w14:textId="77777777" w:rsidR="000A1DA6" w:rsidRDefault="000A1DA6" w:rsidP="00D06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3AAED" w14:textId="77777777" w:rsidR="000A1DA6" w:rsidRDefault="000A1DA6" w:rsidP="00D0688C">
      <w:pPr>
        <w:spacing w:after="0" w:line="240" w:lineRule="auto"/>
      </w:pPr>
      <w:r>
        <w:separator/>
      </w:r>
    </w:p>
  </w:footnote>
  <w:footnote w:type="continuationSeparator" w:id="0">
    <w:p w14:paraId="0DCC4F1D" w14:textId="77777777" w:rsidR="000A1DA6" w:rsidRDefault="000A1DA6" w:rsidP="00D06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77908" w14:textId="2A060E89" w:rsidR="00D0688C" w:rsidRDefault="00D0688C" w:rsidP="00D0688C">
    <w:pPr>
      <w:pStyle w:val="Header"/>
      <w:jc w:val="center"/>
    </w:pPr>
    <w:r>
      <w:rPr>
        <w:noProof/>
      </w:rPr>
      <w:drawing>
        <wp:inline distT="0" distB="0" distL="0" distR="0" wp14:anchorId="4568731D" wp14:editId="750B8DDF">
          <wp:extent cx="2430780" cy="994127"/>
          <wp:effectExtent l="0" t="0" r="7620" b="0"/>
          <wp:docPr id="81599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92845" name="Picture 81599284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60318" cy="100620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90"/>
    <w:rsid w:val="0000542A"/>
    <w:rsid w:val="00010A6E"/>
    <w:rsid w:val="00011049"/>
    <w:rsid w:val="00014058"/>
    <w:rsid w:val="000231D0"/>
    <w:rsid w:val="00032FE6"/>
    <w:rsid w:val="00044262"/>
    <w:rsid w:val="00050057"/>
    <w:rsid w:val="00055580"/>
    <w:rsid w:val="000562FD"/>
    <w:rsid w:val="000569C2"/>
    <w:rsid w:val="00061356"/>
    <w:rsid w:val="0008305F"/>
    <w:rsid w:val="000A1DA6"/>
    <w:rsid w:val="000B4400"/>
    <w:rsid w:val="000D5BAB"/>
    <w:rsid w:val="000D781E"/>
    <w:rsid w:val="001003A6"/>
    <w:rsid w:val="00103C6A"/>
    <w:rsid w:val="00104749"/>
    <w:rsid w:val="001055FC"/>
    <w:rsid w:val="0010652D"/>
    <w:rsid w:val="0010705B"/>
    <w:rsid w:val="00107304"/>
    <w:rsid w:val="00116B24"/>
    <w:rsid w:val="0011708B"/>
    <w:rsid w:val="00133796"/>
    <w:rsid w:val="00140D94"/>
    <w:rsid w:val="00151B7A"/>
    <w:rsid w:val="00155CD4"/>
    <w:rsid w:val="001560CD"/>
    <w:rsid w:val="00172F66"/>
    <w:rsid w:val="0018251C"/>
    <w:rsid w:val="00182DCA"/>
    <w:rsid w:val="00184628"/>
    <w:rsid w:val="00190CF9"/>
    <w:rsid w:val="001A4739"/>
    <w:rsid w:val="001B026C"/>
    <w:rsid w:val="001B11D8"/>
    <w:rsid w:val="001B4E41"/>
    <w:rsid w:val="001C2EAA"/>
    <w:rsid w:val="001D2E30"/>
    <w:rsid w:val="002015B3"/>
    <w:rsid w:val="00203C93"/>
    <w:rsid w:val="0020541F"/>
    <w:rsid w:val="00214871"/>
    <w:rsid w:val="00220A44"/>
    <w:rsid w:val="00231BCB"/>
    <w:rsid w:val="00245C9E"/>
    <w:rsid w:val="00246D24"/>
    <w:rsid w:val="0025279E"/>
    <w:rsid w:val="002608E4"/>
    <w:rsid w:val="00271D3A"/>
    <w:rsid w:val="002733F1"/>
    <w:rsid w:val="002755F3"/>
    <w:rsid w:val="0028180A"/>
    <w:rsid w:val="00282A44"/>
    <w:rsid w:val="0028457C"/>
    <w:rsid w:val="002853FF"/>
    <w:rsid w:val="00286F4D"/>
    <w:rsid w:val="0029273D"/>
    <w:rsid w:val="00295B48"/>
    <w:rsid w:val="002A232B"/>
    <w:rsid w:val="002A7280"/>
    <w:rsid w:val="002A7882"/>
    <w:rsid w:val="002B51F3"/>
    <w:rsid w:val="002E4C02"/>
    <w:rsid w:val="0030321A"/>
    <w:rsid w:val="00306CAA"/>
    <w:rsid w:val="00314695"/>
    <w:rsid w:val="003150A6"/>
    <w:rsid w:val="00317F28"/>
    <w:rsid w:val="003212BA"/>
    <w:rsid w:val="00321998"/>
    <w:rsid w:val="00321C9A"/>
    <w:rsid w:val="00336FA3"/>
    <w:rsid w:val="003626CD"/>
    <w:rsid w:val="00364B37"/>
    <w:rsid w:val="00366FA3"/>
    <w:rsid w:val="00370E55"/>
    <w:rsid w:val="003821DC"/>
    <w:rsid w:val="0038496D"/>
    <w:rsid w:val="003956B4"/>
    <w:rsid w:val="003A3E54"/>
    <w:rsid w:val="003A6F50"/>
    <w:rsid w:val="003B7E6C"/>
    <w:rsid w:val="003C586F"/>
    <w:rsid w:val="003C5F16"/>
    <w:rsid w:val="003E06A7"/>
    <w:rsid w:val="003E2BD5"/>
    <w:rsid w:val="003F572A"/>
    <w:rsid w:val="003F68E5"/>
    <w:rsid w:val="003F68EE"/>
    <w:rsid w:val="00404B71"/>
    <w:rsid w:val="00405A83"/>
    <w:rsid w:val="00414F90"/>
    <w:rsid w:val="00432D9E"/>
    <w:rsid w:val="0043490C"/>
    <w:rsid w:val="00434BC9"/>
    <w:rsid w:val="00441415"/>
    <w:rsid w:val="004430F8"/>
    <w:rsid w:val="004644DC"/>
    <w:rsid w:val="00490030"/>
    <w:rsid w:val="004907FD"/>
    <w:rsid w:val="00493C4D"/>
    <w:rsid w:val="004B2151"/>
    <w:rsid w:val="004B6F58"/>
    <w:rsid w:val="004D1411"/>
    <w:rsid w:val="004D1447"/>
    <w:rsid w:val="004E3DA4"/>
    <w:rsid w:val="004F60D1"/>
    <w:rsid w:val="004F7C1D"/>
    <w:rsid w:val="00503981"/>
    <w:rsid w:val="00506488"/>
    <w:rsid w:val="00525029"/>
    <w:rsid w:val="005355F4"/>
    <w:rsid w:val="005360A9"/>
    <w:rsid w:val="00537428"/>
    <w:rsid w:val="0054035E"/>
    <w:rsid w:val="0055343D"/>
    <w:rsid w:val="00564C18"/>
    <w:rsid w:val="00575301"/>
    <w:rsid w:val="00576C68"/>
    <w:rsid w:val="00590284"/>
    <w:rsid w:val="005912F5"/>
    <w:rsid w:val="005915EB"/>
    <w:rsid w:val="0059570F"/>
    <w:rsid w:val="005A013F"/>
    <w:rsid w:val="005B4586"/>
    <w:rsid w:val="005B5312"/>
    <w:rsid w:val="005B583B"/>
    <w:rsid w:val="005C22B2"/>
    <w:rsid w:val="005C45F6"/>
    <w:rsid w:val="005D29EB"/>
    <w:rsid w:val="005E59B6"/>
    <w:rsid w:val="005F0406"/>
    <w:rsid w:val="005F3637"/>
    <w:rsid w:val="005F4704"/>
    <w:rsid w:val="005F6EFF"/>
    <w:rsid w:val="00604573"/>
    <w:rsid w:val="006237EF"/>
    <w:rsid w:val="0062450B"/>
    <w:rsid w:val="00630218"/>
    <w:rsid w:val="006459EC"/>
    <w:rsid w:val="0064691A"/>
    <w:rsid w:val="006501F4"/>
    <w:rsid w:val="006519C8"/>
    <w:rsid w:val="00654007"/>
    <w:rsid w:val="006563BB"/>
    <w:rsid w:val="00666FA7"/>
    <w:rsid w:val="00667AAA"/>
    <w:rsid w:val="006956DE"/>
    <w:rsid w:val="00696E2F"/>
    <w:rsid w:val="006B6221"/>
    <w:rsid w:val="006B6434"/>
    <w:rsid w:val="006C4614"/>
    <w:rsid w:val="006C5284"/>
    <w:rsid w:val="006C5E4D"/>
    <w:rsid w:val="006E066A"/>
    <w:rsid w:val="006F0CC8"/>
    <w:rsid w:val="007012D3"/>
    <w:rsid w:val="0071270C"/>
    <w:rsid w:val="0071342F"/>
    <w:rsid w:val="00716EA1"/>
    <w:rsid w:val="00724B95"/>
    <w:rsid w:val="007268AF"/>
    <w:rsid w:val="0073389F"/>
    <w:rsid w:val="00735B74"/>
    <w:rsid w:val="00740ED5"/>
    <w:rsid w:val="00761ADA"/>
    <w:rsid w:val="0076332E"/>
    <w:rsid w:val="00765D56"/>
    <w:rsid w:val="007874FB"/>
    <w:rsid w:val="007912FA"/>
    <w:rsid w:val="007A09B1"/>
    <w:rsid w:val="007A3D11"/>
    <w:rsid w:val="007B2185"/>
    <w:rsid w:val="007B58CE"/>
    <w:rsid w:val="007B5F05"/>
    <w:rsid w:val="007B655F"/>
    <w:rsid w:val="007C0F99"/>
    <w:rsid w:val="007C0FE7"/>
    <w:rsid w:val="007D346A"/>
    <w:rsid w:val="007E0776"/>
    <w:rsid w:val="007E15EA"/>
    <w:rsid w:val="00801951"/>
    <w:rsid w:val="00830A73"/>
    <w:rsid w:val="008317F5"/>
    <w:rsid w:val="008415CC"/>
    <w:rsid w:val="00841E6F"/>
    <w:rsid w:val="00843BD0"/>
    <w:rsid w:val="00844930"/>
    <w:rsid w:val="00847E6E"/>
    <w:rsid w:val="00867E6C"/>
    <w:rsid w:val="0087143D"/>
    <w:rsid w:val="008745E3"/>
    <w:rsid w:val="008911EC"/>
    <w:rsid w:val="0089519A"/>
    <w:rsid w:val="00896875"/>
    <w:rsid w:val="00897194"/>
    <w:rsid w:val="008B497B"/>
    <w:rsid w:val="008B599A"/>
    <w:rsid w:val="008C1967"/>
    <w:rsid w:val="008D0BC3"/>
    <w:rsid w:val="008D3E6D"/>
    <w:rsid w:val="008E53A9"/>
    <w:rsid w:val="0090651A"/>
    <w:rsid w:val="009075C4"/>
    <w:rsid w:val="00916E40"/>
    <w:rsid w:val="00924DF1"/>
    <w:rsid w:val="00953C28"/>
    <w:rsid w:val="0096129F"/>
    <w:rsid w:val="00963987"/>
    <w:rsid w:val="00971425"/>
    <w:rsid w:val="009767E2"/>
    <w:rsid w:val="00990026"/>
    <w:rsid w:val="00994B52"/>
    <w:rsid w:val="0099734A"/>
    <w:rsid w:val="009A3279"/>
    <w:rsid w:val="009B6FC1"/>
    <w:rsid w:val="009D1CB0"/>
    <w:rsid w:val="009E4E4F"/>
    <w:rsid w:val="009F260C"/>
    <w:rsid w:val="009F314E"/>
    <w:rsid w:val="009F37BF"/>
    <w:rsid w:val="009F4254"/>
    <w:rsid w:val="00A02696"/>
    <w:rsid w:val="00A05C26"/>
    <w:rsid w:val="00A07AA0"/>
    <w:rsid w:val="00A22A68"/>
    <w:rsid w:val="00A47998"/>
    <w:rsid w:val="00A56A3F"/>
    <w:rsid w:val="00A611B4"/>
    <w:rsid w:val="00A66F31"/>
    <w:rsid w:val="00A67629"/>
    <w:rsid w:val="00A70BC4"/>
    <w:rsid w:val="00A724D5"/>
    <w:rsid w:val="00A86A2F"/>
    <w:rsid w:val="00A86A4C"/>
    <w:rsid w:val="00AA631F"/>
    <w:rsid w:val="00AC40CF"/>
    <w:rsid w:val="00AE1983"/>
    <w:rsid w:val="00AE5F41"/>
    <w:rsid w:val="00AF2DF7"/>
    <w:rsid w:val="00AF7EFE"/>
    <w:rsid w:val="00B04A0E"/>
    <w:rsid w:val="00B072C2"/>
    <w:rsid w:val="00B12F79"/>
    <w:rsid w:val="00B230E9"/>
    <w:rsid w:val="00B241FC"/>
    <w:rsid w:val="00B26D1B"/>
    <w:rsid w:val="00B31BAD"/>
    <w:rsid w:val="00B343C1"/>
    <w:rsid w:val="00B41738"/>
    <w:rsid w:val="00B521C9"/>
    <w:rsid w:val="00B53921"/>
    <w:rsid w:val="00B55854"/>
    <w:rsid w:val="00B634BB"/>
    <w:rsid w:val="00B703F0"/>
    <w:rsid w:val="00B73E50"/>
    <w:rsid w:val="00B75DBF"/>
    <w:rsid w:val="00B81038"/>
    <w:rsid w:val="00B82538"/>
    <w:rsid w:val="00B84F4A"/>
    <w:rsid w:val="00BA04C9"/>
    <w:rsid w:val="00BA3469"/>
    <w:rsid w:val="00BA3F8D"/>
    <w:rsid w:val="00BB0B6A"/>
    <w:rsid w:val="00BB2F92"/>
    <w:rsid w:val="00BB4B1A"/>
    <w:rsid w:val="00BC44A2"/>
    <w:rsid w:val="00BE334D"/>
    <w:rsid w:val="00BE499E"/>
    <w:rsid w:val="00BF2E4F"/>
    <w:rsid w:val="00C043F7"/>
    <w:rsid w:val="00C20CEE"/>
    <w:rsid w:val="00C25FA3"/>
    <w:rsid w:val="00C312C0"/>
    <w:rsid w:val="00C316F3"/>
    <w:rsid w:val="00C339B7"/>
    <w:rsid w:val="00C54E3C"/>
    <w:rsid w:val="00C63F5C"/>
    <w:rsid w:val="00C66D81"/>
    <w:rsid w:val="00C718FD"/>
    <w:rsid w:val="00C77BD6"/>
    <w:rsid w:val="00C81D13"/>
    <w:rsid w:val="00CA59A4"/>
    <w:rsid w:val="00CA5C12"/>
    <w:rsid w:val="00CB0DB7"/>
    <w:rsid w:val="00CB19DB"/>
    <w:rsid w:val="00CB4B7F"/>
    <w:rsid w:val="00CB62F6"/>
    <w:rsid w:val="00CB78B7"/>
    <w:rsid w:val="00CC20CB"/>
    <w:rsid w:val="00CC618E"/>
    <w:rsid w:val="00CC6EF9"/>
    <w:rsid w:val="00CC7970"/>
    <w:rsid w:val="00CC79F7"/>
    <w:rsid w:val="00CD250C"/>
    <w:rsid w:val="00CE71D8"/>
    <w:rsid w:val="00CF1C60"/>
    <w:rsid w:val="00CF50B5"/>
    <w:rsid w:val="00D036C5"/>
    <w:rsid w:val="00D04076"/>
    <w:rsid w:val="00D0688C"/>
    <w:rsid w:val="00D07905"/>
    <w:rsid w:val="00D2093D"/>
    <w:rsid w:val="00D30C41"/>
    <w:rsid w:val="00D3233D"/>
    <w:rsid w:val="00D36888"/>
    <w:rsid w:val="00D5007F"/>
    <w:rsid w:val="00D50AF8"/>
    <w:rsid w:val="00D57289"/>
    <w:rsid w:val="00D710C2"/>
    <w:rsid w:val="00D74B2F"/>
    <w:rsid w:val="00D77C70"/>
    <w:rsid w:val="00D843F3"/>
    <w:rsid w:val="00D91866"/>
    <w:rsid w:val="00D937AE"/>
    <w:rsid w:val="00D96EE5"/>
    <w:rsid w:val="00DA4AF7"/>
    <w:rsid w:val="00DE3C25"/>
    <w:rsid w:val="00DE6520"/>
    <w:rsid w:val="00DF4431"/>
    <w:rsid w:val="00DF6F02"/>
    <w:rsid w:val="00E118E5"/>
    <w:rsid w:val="00E153F8"/>
    <w:rsid w:val="00E240A3"/>
    <w:rsid w:val="00E37990"/>
    <w:rsid w:val="00E50E21"/>
    <w:rsid w:val="00E51940"/>
    <w:rsid w:val="00E71A00"/>
    <w:rsid w:val="00E87D62"/>
    <w:rsid w:val="00EA13B8"/>
    <w:rsid w:val="00EA2051"/>
    <w:rsid w:val="00EA4392"/>
    <w:rsid w:val="00EA7218"/>
    <w:rsid w:val="00EB2D45"/>
    <w:rsid w:val="00EB524D"/>
    <w:rsid w:val="00EC40CF"/>
    <w:rsid w:val="00EC4CAA"/>
    <w:rsid w:val="00ED24DA"/>
    <w:rsid w:val="00ED4C00"/>
    <w:rsid w:val="00EE3479"/>
    <w:rsid w:val="00EE7AC3"/>
    <w:rsid w:val="00F1575E"/>
    <w:rsid w:val="00F158A9"/>
    <w:rsid w:val="00F15C0A"/>
    <w:rsid w:val="00F25002"/>
    <w:rsid w:val="00F26849"/>
    <w:rsid w:val="00F2725E"/>
    <w:rsid w:val="00F37282"/>
    <w:rsid w:val="00F416CE"/>
    <w:rsid w:val="00F46578"/>
    <w:rsid w:val="00F56721"/>
    <w:rsid w:val="00F64C76"/>
    <w:rsid w:val="00F702C0"/>
    <w:rsid w:val="00F73FAF"/>
    <w:rsid w:val="00F751B0"/>
    <w:rsid w:val="00F812C6"/>
    <w:rsid w:val="00F846D9"/>
    <w:rsid w:val="00F85082"/>
    <w:rsid w:val="00F905B0"/>
    <w:rsid w:val="00F95A4D"/>
    <w:rsid w:val="00F967C2"/>
    <w:rsid w:val="00FA23B3"/>
    <w:rsid w:val="00FA50F8"/>
    <w:rsid w:val="00FB71C5"/>
    <w:rsid w:val="00FC3C60"/>
    <w:rsid w:val="00FC6974"/>
    <w:rsid w:val="00FE7820"/>
    <w:rsid w:val="00FE7C4B"/>
    <w:rsid w:val="00FF0ECA"/>
    <w:rsid w:val="00FF3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531FD"/>
  <w15:chartTrackingRefBased/>
  <w15:docId w15:val="{9C550551-98E3-4714-BBCA-D4FBC8003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4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F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F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F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F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F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F90"/>
    <w:rPr>
      <w:rFonts w:eastAsiaTheme="majorEastAsia" w:cstheme="majorBidi"/>
      <w:color w:val="272727" w:themeColor="text1" w:themeTint="D8"/>
    </w:rPr>
  </w:style>
  <w:style w:type="paragraph" w:styleId="Title">
    <w:name w:val="Title"/>
    <w:basedOn w:val="Normal"/>
    <w:next w:val="Normal"/>
    <w:link w:val="TitleChar"/>
    <w:uiPriority w:val="10"/>
    <w:qFormat/>
    <w:rsid w:val="00414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F90"/>
    <w:pPr>
      <w:spacing w:before="160"/>
      <w:jc w:val="center"/>
    </w:pPr>
    <w:rPr>
      <w:i/>
      <w:iCs/>
      <w:color w:val="404040" w:themeColor="text1" w:themeTint="BF"/>
    </w:rPr>
  </w:style>
  <w:style w:type="character" w:customStyle="1" w:styleId="QuoteChar">
    <w:name w:val="Quote Char"/>
    <w:basedOn w:val="DefaultParagraphFont"/>
    <w:link w:val="Quote"/>
    <w:uiPriority w:val="29"/>
    <w:rsid w:val="00414F90"/>
    <w:rPr>
      <w:i/>
      <w:iCs/>
      <w:color w:val="404040" w:themeColor="text1" w:themeTint="BF"/>
    </w:rPr>
  </w:style>
  <w:style w:type="paragraph" w:styleId="ListParagraph">
    <w:name w:val="List Paragraph"/>
    <w:basedOn w:val="Normal"/>
    <w:uiPriority w:val="34"/>
    <w:qFormat/>
    <w:rsid w:val="00414F90"/>
    <w:pPr>
      <w:ind w:left="720"/>
      <w:contextualSpacing/>
    </w:pPr>
  </w:style>
  <w:style w:type="character" w:styleId="IntenseEmphasis">
    <w:name w:val="Intense Emphasis"/>
    <w:basedOn w:val="DefaultParagraphFont"/>
    <w:uiPriority w:val="21"/>
    <w:qFormat/>
    <w:rsid w:val="00414F90"/>
    <w:rPr>
      <w:i/>
      <w:iCs/>
      <w:color w:val="0F4761" w:themeColor="accent1" w:themeShade="BF"/>
    </w:rPr>
  </w:style>
  <w:style w:type="paragraph" w:styleId="IntenseQuote">
    <w:name w:val="Intense Quote"/>
    <w:basedOn w:val="Normal"/>
    <w:next w:val="Normal"/>
    <w:link w:val="IntenseQuoteChar"/>
    <w:uiPriority w:val="30"/>
    <w:qFormat/>
    <w:rsid w:val="00414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F90"/>
    <w:rPr>
      <w:i/>
      <w:iCs/>
      <w:color w:val="0F4761" w:themeColor="accent1" w:themeShade="BF"/>
    </w:rPr>
  </w:style>
  <w:style w:type="character" w:styleId="IntenseReference">
    <w:name w:val="Intense Reference"/>
    <w:basedOn w:val="DefaultParagraphFont"/>
    <w:uiPriority w:val="32"/>
    <w:qFormat/>
    <w:rsid w:val="00414F90"/>
    <w:rPr>
      <w:b/>
      <w:bCs/>
      <w:smallCaps/>
      <w:color w:val="0F4761" w:themeColor="accent1" w:themeShade="BF"/>
      <w:spacing w:val="5"/>
    </w:rPr>
  </w:style>
  <w:style w:type="paragraph" w:styleId="Header">
    <w:name w:val="header"/>
    <w:basedOn w:val="Normal"/>
    <w:link w:val="HeaderChar"/>
    <w:uiPriority w:val="99"/>
    <w:unhideWhenUsed/>
    <w:rsid w:val="00D068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88C"/>
  </w:style>
  <w:style w:type="paragraph" w:styleId="Footer">
    <w:name w:val="footer"/>
    <w:basedOn w:val="Normal"/>
    <w:link w:val="FooterChar"/>
    <w:uiPriority w:val="99"/>
    <w:unhideWhenUsed/>
    <w:rsid w:val="00D068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1EF3CB7334314BA08D5ED00B94403E" ma:contentTypeVersion="16" ma:contentTypeDescription="Create a new document." ma:contentTypeScope="" ma:versionID="08e310837a0911737be7e6b93d8494fa">
  <xsd:schema xmlns:xsd="http://www.w3.org/2001/XMLSchema" xmlns:xs="http://www.w3.org/2001/XMLSchema" xmlns:p="http://schemas.microsoft.com/office/2006/metadata/properties" xmlns:ns2="de131409-175b-4670-b1b2-69ecaee067ad" xmlns:ns3="7067d1cf-405b-4788-b2d9-32ed254dac5c" targetNamespace="http://schemas.microsoft.com/office/2006/metadata/properties" ma:root="true" ma:fieldsID="ed764b560a4a25146db0d0a0bf7142e1" ns2:_="" ns3:_="">
    <xsd:import namespace="de131409-175b-4670-b1b2-69ecaee067ad"/>
    <xsd:import namespace="7067d1cf-405b-4788-b2d9-32ed254dac5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131409-175b-4670-b1b2-69ecaee067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f050f37-919d-4c83-b807-abd98e77d6d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67d1cf-405b-4788-b2d9-32ed254dac5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99e7933-a7e5-4518-ba75-70767e40dcd6}" ma:internalName="TaxCatchAll" ma:showField="CatchAllData" ma:web="7067d1cf-405b-4788-b2d9-32ed254dac5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067d1cf-405b-4788-b2d9-32ed254dac5c" xsi:nil="true"/>
    <lcf76f155ced4ddcb4097134ff3c332f xmlns="de131409-175b-4670-b1b2-69ecaee067a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8666AB-7FFE-4D8B-8501-B8BC5AE323FD}"/>
</file>

<file path=customXml/itemProps2.xml><?xml version="1.0" encoding="utf-8"?>
<ds:datastoreItem xmlns:ds="http://schemas.openxmlformats.org/officeDocument/2006/customXml" ds:itemID="{AC939466-A3B2-4513-B5AD-9E97B80208E9}"/>
</file>

<file path=customXml/itemProps3.xml><?xml version="1.0" encoding="utf-8"?>
<ds:datastoreItem xmlns:ds="http://schemas.openxmlformats.org/officeDocument/2006/customXml" ds:itemID="{5FB21B6E-2243-42C9-88C6-237607EEC7FE}"/>
</file>

<file path=docProps/app.xml><?xml version="1.0" encoding="utf-8"?>
<Properties xmlns="http://schemas.openxmlformats.org/officeDocument/2006/extended-properties" xmlns:vt="http://schemas.openxmlformats.org/officeDocument/2006/docPropsVTypes">
  <Template>Normal</Template>
  <TotalTime>123</TotalTime>
  <Pages>3</Pages>
  <Words>718</Words>
  <Characters>4097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Conte</dc:creator>
  <cp:keywords/>
  <dc:description/>
  <cp:lastModifiedBy>Becky Conte</cp:lastModifiedBy>
  <cp:revision>1</cp:revision>
  <dcterms:created xsi:type="dcterms:W3CDTF">2026-08-20T19:27:00Z</dcterms:created>
  <dcterms:modified xsi:type="dcterms:W3CDTF">2026-08-20T21:31:00Z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d7851f22-36eb-46cd-93e9-8cc8bbdc5c0f</vt:lpwstr>
  </property>
  <property fmtid="{D5CDD505-2E9C-101B-9397-08002B2CF9AE}" pid="3" name="ContentTypeId">
    <vt:lpwstr>0x0101000F1EF3CB7334314BA08D5ED00B94403E</vt:lpwstr>
  </property>
</Properties>
</file>